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2D1297">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244C01" w:rsidRPr="00244C01">
        <w:t>R4-2114515</w:t>
      </w:r>
    </w:p>
    <w:p w:rsidR="00675C27" w:rsidRPr="00444A16" w:rsidRDefault="00C168DB" w:rsidP="00F71A33">
      <w:pPr>
        <w:pStyle w:val="a1"/>
        <w:rPr>
          <w:rFonts w:eastAsia="宋体"/>
          <w:lang w:eastAsia="zh-CN"/>
        </w:rPr>
      </w:pPr>
      <w:r w:rsidRPr="00C168DB">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E2AF3" w:rsidRPr="001E2AF3">
        <w:rPr>
          <w:rFonts w:ascii="Arial" w:hAnsi="Arial" w:cs="Arial"/>
          <w:sz w:val="22"/>
        </w:rPr>
        <w:t xml:space="preserve">On principles for deciding simultaneous </w:t>
      </w:r>
      <w:proofErr w:type="spellStart"/>
      <w:r w:rsidR="001E2AF3" w:rsidRPr="001E2AF3">
        <w:rPr>
          <w:rFonts w:ascii="Arial" w:hAnsi="Arial" w:cs="Arial"/>
          <w:sz w:val="22"/>
        </w:rPr>
        <w:t>RxTx</w:t>
      </w:r>
      <w:proofErr w:type="spellEnd"/>
      <w:r w:rsidR="001E2AF3" w:rsidRPr="001E2AF3">
        <w:rPr>
          <w:rFonts w:ascii="Arial" w:hAnsi="Arial" w:cs="Arial"/>
          <w:sz w:val="22"/>
        </w:rPr>
        <w:t xml:space="preserve"> capability</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13D6D" w:rsidRPr="00C13D6D">
        <w:rPr>
          <w:rFonts w:ascii="Arial" w:hAnsi="Arial" w:cs="Arial"/>
          <w:sz w:val="22"/>
        </w:rPr>
        <w:t>8.43.2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950454" w:rsidP="009A089A">
      <w:r>
        <w:t xml:space="preserve">Principles for </w:t>
      </w:r>
      <w:r w:rsidRPr="00950454">
        <w:t>deciding simultaneous Rx</w:t>
      </w:r>
      <w:r>
        <w:t>/</w:t>
      </w:r>
      <w:proofErr w:type="spellStart"/>
      <w:r w:rsidRPr="00950454">
        <w:t>Tx</w:t>
      </w:r>
      <w:proofErr w:type="spellEnd"/>
      <w:r w:rsidRPr="00950454">
        <w:t xml:space="preserve"> capability</w:t>
      </w:r>
      <w:r>
        <w:t xml:space="preserve"> for CA, EN-DC, SUL band combinations have been further discussed in last RAN4 meeting [1-4]. </w:t>
      </w:r>
    </w:p>
    <w:p w:rsidR="009A089A" w:rsidRDefault="00950454" w:rsidP="009A089A">
      <w:r>
        <w:rPr>
          <w:lang w:val="x-none"/>
        </w:rPr>
        <w:t>Though not all general issues are solved, there are still a lot of progress. This contribution provides further consideration for the remaining issues</w:t>
      </w:r>
      <w:r w:rsidR="00B9629D">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3A7DF6" w:rsidP="005369EE">
      <w:pPr>
        <w:rPr>
          <w:lang w:val="en-US" w:eastAsia="en-US"/>
        </w:rPr>
      </w:pPr>
      <w:r>
        <w:rPr>
          <w:lang w:val="en-US" w:eastAsia="en-US"/>
        </w:rPr>
        <w:t xml:space="preserve">During the discussion, it was agreed that: </w:t>
      </w:r>
    </w:p>
    <w:p w:rsidR="003A7DF6" w:rsidRPr="00F05B74" w:rsidRDefault="003A7DF6" w:rsidP="00E93C0C">
      <w:pPr>
        <w:numPr>
          <w:ilvl w:val="0"/>
          <w:numId w:val="10"/>
        </w:numPr>
        <w:rPr>
          <w:i/>
          <w:lang w:val="en-US" w:eastAsia="en-US"/>
        </w:rPr>
      </w:pPr>
      <w:r w:rsidRPr="00F05B74">
        <w:rPr>
          <w:i/>
          <w:lang w:val="en-US" w:eastAsia="en-US"/>
        </w:rPr>
        <w:t>Same simultaneous Rx/</w:t>
      </w:r>
      <w:proofErr w:type="spellStart"/>
      <w:r w:rsidRPr="00F05B74">
        <w:rPr>
          <w:i/>
          <w:lang w:val="en-US" w:eastAsia="en-US"/>
        </w:rPr>
        <w:t>Tx</w:t>
      </w:r>
      <w:proofErr w:type="spellEnd"/>
      <w:r w:rsidRPr="00F05B74">
        <w:rPr>
          <w:i/>
          <w:lang w:val="en-US" w:eastAsia="en-US"/>
        </w:rPr>
        <w:t xml:space="preserve"> capability can be applied for the corresponding band combination among NR CA, NR DC and NR EN-DC</w:t>
      </w:r>
    </w:p>
    <w:p w:rsidR="002E45E1" w:rsidRPr="00F05B74" w:rsidRDefault="003A7DF6" w:rsidP="00E93C0C">
      <w:pPr>
        <w:numPr>
          <w:ilvl w:val="0"/>
          <w:numId w:val="10"/>
        </w:numPr>
        <w:rPr>
          <w:i/>
          <w:lang w:val="en-US" w:eastAsia="en-US"/>
        </w:rPr>
      </w:pPr>
      <w:r w:rsidRPr="00F05B74">
        <w:rPr>
          <w:i/>
          <w:lang w:val="en-US" w:eastAsia="en-US"/>
        </w:rPr>
        <w:t>Simultaneous Rx/</w:t>
      </w:r>
      <w:proofErr w:type="spellStart"/>
      <w:r w:rsidRPr="00F05B74">
        <w:rPr>
          <w:i/>
          <w:lang w:val="en-US" w:eastAsia="en-US"/>
        </w:rPr>
        <w:t>Tx</w:t>
      </w:r>
      <w:proofErr w:type="spellEnd"/>
      <w:r w:rsidRPr="00F05B74">
        <w:rPr>
          <w:i/>
          <w:lang w:val="en-US" w:eastAsia="en-US"/>
        </w:rPr>
        <w:t xml:space="preserve"> capability for FR1+FR2 FDD-TDD band combination, t</w:t>
      </w:r>
      <w:r w:rsidR="00E93C0C" w:rsidRPr="00F05B74">
        <w:rPr>
          <w:i/>
          <w:lang w:val="en-US" w:eastAsia="en-US"/>
        </w:rPr>
        <w:t>he capability shall be mandatory if FR1 FDD band (&lt;4GHz) is aggregated with FR2 TDD bands</w:t>
      </w:r>
    </w:p>
    <w:p w:rsidR="003A7DF6" w:rsidRDefault="003A7DF6" w:rsidP="003A7DF6">
      <w:pPr>
        <w:spacing w:before="120"/>
      </w:pPr>
      <w:r>
        <w:rPr>
          <w:lang w:val="en-US" w:eastAsia="en-US"/>
        </w:rPr>
        <w:t xml:space="preserve">The remaining issues are some rules to decide </w:t>
      </w:r>
      <w:r w:rsidRPr="00950454">
        <w:t>simultaneous Rx</w:t>
      </w:r>
      <w:r>
        <w:t>/</w:t>
      </w:r>
      <w:proofErr w:type="spellStart"/>
      <w:r w:rsidRPr="00950454">
        <w:t>Tx</w:t>
      </w:r>
      <w:proofErr w:type="spellEnd"/>
      <w:r w:rsidRPr="00950454">
        <w:t xml:space="preserve"> capability</w:t>
      </w:r>
      <w:r>
        <w:t xml:space="preserve"> for a band combination.</w:t>
      </w:r>
    </w:p>
    <w:p w:rsidR="002E45E1" w:rsidRPr="003A7DF6" w:rsidRDefault="00E93C0C" w:rsidP="003A7DF6">
      <w:pPr>
        <w:pStyle w:val="Heading2"/>
        <w:tabs>
          <w:tab w:val="clear" w:pos="681"/>
          <w:tab w:val="num" w:pos="397"/>
        </w:tabs>
        <w:spacing w:after="240"/>
        <w:ind w:left="0"/>
        <w:rPr>
          <w:lang w:val="en-US"/>
        </w:rPr>
      </w:pPr>
      <w:r w:rsidRPr="003A7DF6">
        <w:rPr>
          <w:bCs/>
          <w:lang w:val="en-US"/>
        </w:rPr>
        <w:t>Simultaneous Rx/</w:t>
      </w:r>
      <w:proofErr w:type="spellStart"/>
      <w:r w:rsidRPr="003A7DF6">
        <w:rPr>
          <w:bCs/>
          <w:lang w:val="en-US"/>
        </w:rPr>
        <w:t>Tx</w:t>
      </w:r>
      <w:proofErr w:type="spellEnd"/>
      <w:r w:rsidRPr="003A7DF6">
        <w:rPr>
          <w:bCs/>
          <w:lang w:val="en-US"/>
        </w:rPr>
        <w:t xml:space="preserve"> capability for FR1+FR1 FDD-TDD band combination</w:t>
      </w:r>
    </w:p>
    <w:p w:rsidR="005369EE" w:rsidRDefault="00F05B74" w:rsidP="005369EE">
      <w:pPr>
        <w:rPr>
          <w:lang w:val="en-US" w:eastAsia="en-US"/>
        </w:rPr>
      </w:pPr>
      <w:r>
        <w:rPr>
          <w:lang w:val="en-US" w:eastAsia="en-US"/>
        </w:rPr>
        <w:t xml:space="preserve">For the issue, there are several options discussed in the meeting. </w:t>
      </w:r>
    </w:p>
    <w:p w:rsidR="002E45E1" w:rsidRPr="00F05B74" w:rsidRDefault="00E93C0C" w:rsidP="00E93C0C">
      <w:pPr>
        <w:numPr>
          <w:ilvl w:val="0"/>
          <w:numId w:val="10"/>
        </w:numPr>
        <w:rPr>
          <w:lang w:val="en-US" w:eastAsia="en-US"/>
        </w:rPr>
      </w:pPr>
      <w:r w:rsidRPr="00F05B74">
        <w:rPr>
          <w:lang w:val="en-US" w:eastAsia="en-US"/>
        </w:rPr>
        <w:t>Option 1: Mandatory support by default unless the specific problem is identified when specifying the specific combinations in the basket WID. To make sure the potential problem will not be missed check, case-by-case study can be applied if the frequency separation between the FDD band and the TDD band of the combination is smaller than a threshold or the frequencies are multiples of each other</w:t>
      </w:r>
      <w:r w:rsidR="00F05B74">
        <w:rPr>
          <w:lang w:val="en-US" w:eastAsia="en-US"/>
        </w:rPr>
        <w:t xml:space="preserve"> </w:t>
      </w:r>
      <w:r w:rsidRPr="00F05B74">
        <w:rPr>
          <w:lang w:val="en-US" w:eastAsia="en-US"/>
        </w:rPr>
        <w:t>(IM/harmonics products from a band fall in the other band). Otherwise, the mandatory simultaneous Rx/</w:t>
      </w:r>
      <w:proofErr w:type="spellStart"/>
      <w:r w:rsidRPr="00F05B74">
        <w:rPr>
          <w:lang w:val="en-US" w:eastAsia="en-US"/>
        </w:rPr>
        <w:t>Tx</w:t>
      </w:r>
      <w:proofErr w:type="spellEnd"/>
      <w:r w:rsidRPr="00F05B74">
        <w:rPr>
          <w:lang w:val="en-US" w:eastAsia="en-US"/>
        </w:rPr>
        <w:t xml:space="preserve"> capability is applied without additional discussion.</w:t>
      </w:r>
    </w:p>
    <w:p w:rsidR="002E45E1" w:rsidRPr="00F05B74" w:rsidRDefault="00E93C0C" w:rsidP="00E93C0C">
      <w:pPr>
        <w:numPr>
          <w:ilvl w:val="0"/>
          <w:numId w:val="10"/>
        </w:numPr>
        <w:rPr>
          <w:lang w:val="en-US" w:eastAsia="en-US"/>
        </w:rPr>
      </w:pPr>
      <w:r w:rsidRPr="00F05B74">
        <w:rPr>
          <w:lang w:val="en-US" w:eastAsia="en-US"/>
        </w:rPr>
        <w:t>Option 2: Mandatory support. MSD requirements shall be defined for the combinations which have REFSENS degradation caused by IMD or harmonics</w:t>
      </w:r>
    </w:p>
    <w:p w:rsidR="002E45E1" w:rsidRPr="00F05B74" w:rsidRDefault="00E93C0C" w:rsidP="00E93C0C">
      <w:pPr>
        <w:numPr>
          <w:ilvl w:val="0"/>
          <w:numId w:val="10"/>
        </w:numPr>
        <w:rPr>
          <w:lang w:val="en-US" w:eastAsia="en-US"/>
        </w:rPr>
      </w:pPr>
      <w:r w:rsidRPr="00F05B74">
        <w:rPr>
          <w:lang w:val="en-US" w:eastAsia="en-US"/>
        </w:rPr>
        <w:t xml:space="preserve">Option 3: use MSD value or the harmonic / IMD order as the condition to choose band combinations for further discussion of the simultaneous </w:t>
      </w:r>
      <w:proofErr w:type="spellStart"/>
      <w:r w:rsidRPr="00F05B74">
        <w:rPr>
          <w:lang w:val="en-US" w:eastAsia="en-US"/>
        </w:rPr>
        <w:t>RxTx</w:t>
      </w:r>
      <w:proofErr w:type="spellEnd"/>
    </w:p>
    <w:p w:rsidR="002E45E1" w:rsidRPr="00F05B74" w:rsidRDefault="00E93C0C" w:rsidP="00E93C0C">
      <w:pPr>
        <w:numPr>
          <w:ilvl w:val="0"/>
          <w:numId w:val="10"/>
        </w:numPr>
        <w:rPr>
          <w:lang w:val="en-US" w:eastAsia="en-US"/>
        </w:rPr>
      </w:pPr>
      <w:r w:rsidRPr="00F05B74">
        <w:rPr>
          <w:lang w:val="en-US" w:eastAsia="en-US"/>
        </w:rPr>
        <w:t>Option 4: Discuss whether or not CA operation is workable in the case of simultaneous Rx/</w:t>
      </w:r>
      <w:proofErr w:type="spellStart"/>
      <w:r w:rsidRPr="00F05B74">
        <w:rPr>
          <w:lang w:val="en-US" w:eastAsia="en-US"/>
        </w:rPr>
        <w:t>Tx</w:t>
      </w:r>
      <w:proofErr w:type="spellEnd"/>
      <w:r w:rsidRPr="00F05B74">
        <w:rPr>
          <w:lang w:val="en-US" w:eastAsia="en-US"/>
        </w:rPr>
        <w:t xml:space="preserve"> capability is not supported for FR1+FR1 FDD-TDD CA band combination.</w:t>
      </w:r>
    </w:p>
    <w:p w:rsidR="00EB4DA8" w:rsidRDefault="00FD75B7" w:rsidP="005369EE">
      <w:pPr>
        <w:rPr>
          <w:lang w:val="en-US" w:eastAsia="en-US"/>
        </w:rPr>
      </w:pPr>
      <w:r>
        <w:rPr>
          <w:lang w:val="en-US" w:eastAsia="en-US"/>
        </w:rPr>
        <w:t xml:space="preserve">In our view, option 1 ~ 3 do not counter to each other. </w:t>
      </w:r>
      <w:r w:rsidR="00EE67E8">
        <w:rPr>
          <w:lang w:val="en-US" w:eastAsia="en-US"/>
        </w:rPr>
        <w:t>To make it workable, most of the FDD-TDD band combinations should support simultaneous Rx/</w:t>
      </w:r>
      <w:proofErr w:type="spellStart"/>
      <w:r w:rsidR="00EE67E8">
        <w:rPr>
          <w:lang w:val="en-US" w:eastAsia="en-US"/>
        </w:rPr>
        <w:t>Tx</w:t>
      </w:r>
      <w:proofErr w:type="spellEnd"/>
      <w:r w:rsidR="00EE67E8">
        <w:rPr>
          <w:lang w:val="en-US" w:eastAsia="en-US"/>
        </w:rPr>
        <w:t xml:space="preserve"> capability. Only a few combos are exceptions. However, these combinations can be easily identified. For band combinations with close separation or large MSD values, whether the capability could support simultaneous Rx/</w:t>
      </w:r>
      <w:proofErr w:type="spellStart"/>
      <w:r w:rsidR="00EE67E8">
        <w:rPr>
          <w:lang w:val="en-US" w:eastAsia="en-US"/>
        </w:rPr>
        <w:t>Tx</w:t>
      </w:r>
      <w:proofErr w:type="spellEnd"/>
      <w:r w:rsidR="00EE67E8">
        <w:rPr>
          <w:lang w:val="en-US" w:eastAsia="en-US"/>
        </w:rPr>
        <w:t xml:space="preserve"> capability can discussed under </w:t>
      </w:r>
      <w:r w:rsidR="00EB4DA8">
        <w:rPr>
          <w:lang w:val="en-US" w:eastAsia="en-US"/>
        </w:rPr>
        <w:t xml:space="preserve">the WI. A close band combination between TDD and FDD bands, if there are no MSD issue at all, then certainly no issue to support the capability. Therefore, the factor to </w:t>
      </w:r>
      <w:r w:rsidR="00EB4DA8">
        <w:rPr>
          <w:lang w:val="en-US" w:eastAsia="en-US"/>
        </w:rPr>
        <w:lastRenderedPageBreak/>
        <w:t>determine whether the band combination can support simultaneous Rx/</w:t>
      </w:r>
      <w:proofErr w:type="spellStart"/>
      <w:r w:rsidR="00EB4DA8">
        <w:rPr>
          <w:lang w:val="en-US" w:eastAsia="en-US"/>
        </w:rPr>
        <w:t>Tx</w:t>
      </w:r>
      <w:proofErr w:type="spellEnd"/>
      <w:r w:rsidR="00EB4DA8">
        <w:rPr>
          <w:lang w:val="en-US" w:eastAsia="en-US"/>
        </w:rPr>
        <w:t xml:space="preserve"> capability is MSD value. But it doesn’t mean that any band combination with MSD cannot support the capability. It depends on whether the MSD value, even a large degradation value can be accepted for the operator. Thus, we think the rule for FDD-TDD band combinations can be combined together and we have the following proposal:</w:t>
      </w:r>
    </w:p>
    <w:p w:rsidR="00F05B74" w:rsidRPr="00744502" w:rsidRDefault="00EB4DA8" w:rsidP="005369EE">
      <w:pPr>
        <w:rPr>
          <w:b/>
          <w:i/>
          <w:lang w:val="en-US" w:eastAsia="en-US"/>
        </w:rPr>
      </w:pPr>
      <w:r w:rsidRPr="00744502">
        <w:rPr>
          <w:b/>
          <w:i/>
          <w:lang w:val="en-US" w:eastAsia="en-US"/>
        </w:rPr>
        <w:t xml:space="preserve">Proposal 1: For </w:t>
      </w:r>
      <w:r w:rsidRPr="00744502">
        <w:rPr>
          <w:b/>
          <w:bCs/>
          <w:i/>
          <w:lang w:val="en-US" w:eastAsia="en-US"/>
        </w:rPr>
        <w:t>FR1+FR1 FDD-TDD band combination, simultaneous Rx/</w:t>
      </w:r>
      <w:proofErr w:type="spellStart"/>
      <w:r w:rsidRPr="00744502">
        <w:rPr>
          <w:b/>
          <w:bCs/>
          <w:i/>
          <w:lang w:val="en-US" w:eastAsia="en-US"/>
        </w:rPr>
        <w:t>Tx</w:t>
      </w:r>
      <w:proofErr w:type="spellEnd"/>
      <w:r w:rsidRPr="00744502">
        <w:rPr>
          <w:b/>
          <w:bCs/>
          <w:i/>
          <w:lang w:val="en-US" w:eastAsia="en-US"/>
        </w:rPr>
        <w:t xml:space="preserve"> capability is mandatorily supported if the combination has no MSD </w:t>
      </w:r>
      <w:r w:rsidR="00744502">
        <w:rPr>
          <w:b/>
          <w:bCs/>
          <w:i/>
          <w:lang w:val="en-US" w:eastAsia="en-US"/>
        </w:rPr>
        <w:t xml:space="preserve">issue </w:t>
      </w:r>
      <w:r w:rsidRPr="00744502">
        <w:rPr>
          <w:b/>
          <w:bCs/>
          <w:i/>
          <w:lang w:val="en-US" w:eastAsia="en-US"/>
        </w:rPr>
        <w:t>or the MSD less than a certain value (to be discussed in RAN4). For the combination with MSD exceed</w:t>
      </w:r>
      <w:r w:rsidR="00744502">
        <w:rPr>
          <w:b/>
          <w:bCs/>
          <w:i/>
          <w:lang w:val="en-US" w:eastAsia="en-US"/>
        </w:rPr>
        <w:t>ing</w:t>
      </w:r>
      <w:r w:rsidRPr="00744502">
        <w:rPr>
          <w:b/>
          <w:bCs/>
          <w:i/>
          <w:lang w:val="en-US" w:eastAsia="en-US"/>
        </w:rPr>
        <w:t xml:space="preserve"> the </w:t>
      </w:r>
      <w:r w:rsidR="00744502" w:rsidRPr="00744502">
        <w:rPr>
          <w:b/>
          <w:i/>
          <w:lang w:val="en-US" w:eastAsia="en-US"/>
        </w:rPr>
        <w:t xml:space="preserve">threshold, whether the capability can be </w:t>
      </w:r>
      <w:r w:rsidR="00744502">
        <w:rPr>
          <w:b/>
          <w:i/>
          <w:lang w:val="en-US" w:eastAsia="en-US"/>
        </w:rPr>
        <w:t xml:space="preserve">mandatorily </w:t>
      </w:r>
      <w:r w:rsidR="00744502" w:rsidRPr="00744502">
        <w:rPr>
          <w:b/>
          <w:i/>
          <w:lang w:val="en-US" w:eastAsia="en-US"/>
        </w:rPr>
        <w:t xml:space="preserve">supported should be checked under the WI. </w:t>
      </w:r>
    </w:p>
    <w:p w:rsidR="003A7DF6" w:rsidRDefault="003A7DF6" w:rsidP="003A7DF6">
      <w:pPr>
        <w:pStyle w:val="Heading2"/>
        <w:tabs>
          <w:tab w:val="clear" w:pos="681"/>
          <w:tab w:val="num" w:pos="397"/>
        </w:tabs>
        <w:spacing w:after="240"/>
        <w:ind w:left="0"/>
        <w:rPr>
          <w:lang w:val="en-US"/>
        </w:rPr>
      </w:pPr>
      <w:r w:rsidRPr="003A7DF6">
        <w:rPr>
          <w:lang w:val="en-US"/>
        </w:rPr>
        <w:t>Simultaneous Rx/</w:t>
      </w:r>
      <w:proofErr w:type="spellStart"/>
      <w:r w:rsidRPr="003A7DF6">
        <w:rPr>
          <w:lang w:val="en-US"/>
        </w:rPr>
        <w:t>Tx</w:t>
      </w:r>
      <w:proofErr w:type="spellEnd"/>
      <w:r w:rsidRPr="003A7DF6">
        <w:rPr>
          <w:lang w:val="en-US"/>
        </w:rPr>
        <w:t xml:space="preserve"> capability for FR1+FR2 TDD-TDD band combination</w:t>
      </w:r>
    </w:p>
    <w:p w:rsidR="00744502" w:rsidRPr="00744502" w:rsidRDefault="00744502" w:rsidP="00744502">
      <w:pPr>
        <w:rPr>
          <w:lang w:val="en-US"/>
        </w:rPr>
      </w:pPr>
      <w:r>
        <w:rPr>
          <w:rFonts w:hint="eastAsia"/>
          <w:lang w:val="en-US"/>
        </w:rPr>
        <w:t>T</w:t>
      </w:r>
      <w:r>
        <w:rPr>
          <w:lang w:val="en-US"/>
        </w:rPr>
        <w:t xml:space="preserve">here are two options for FR1+FR2 TDD-TDD band combination. </w:t>
      </w:r>
    </w:p>
    <w:p w:rsidR="002E45E1" w:rsidRPr="00744502" w:rsidRDefault="00E93C0C" w:rsidP="00E93C0C">
      <w:pPr>
        <w:numPr>
          <w:ilvl w:val="0"/>
          <w:numId w:val="11"/>
        </w:numPr>
        <w:rPr>
          <w:i/>
          <w:lang w:val="en-US" w:eastAsia="en-US"/>
        </w:rPr>
      </w:pPr>
      <w:r w:rsidRPr="00744502">
        <w:rPr>
          <w:i/>
          <w:lang w:val="en-US" w:eastAsia="en-US"/>
        </w:rPr>
        <w:t>Option 1: Mandatory support</w:t>
      </w:r>
    </w:p>
    <w:p w:rsidR="002E45E1" w:rsidRPr="00744502" w:rsidRDefault="00E93C0C" w:rsidP="00E93C0C">
      <w:pPr>
        <w:numPr>
          <w:ilvl w:val="0"/>
          <w:numId w:val="11"/>
        </w:numPr>
        <w:rPr>
          <w:i/>
          <w:lang w:val="en-US" w:eastAsia="en-US"/>
        </w:rPr>
      </w:pPr>
      <w:r w:rsidRPr="00744502">
        <w:rPr>
          <w:i/>
          <w:lang w:val="en-US" w:eastAsia="en-US"/>
        </w:rPr>
        <w:t xml:space="preserve">Option 2: study case by case </w:t>
      </w:r>
    </w:p>
    <w:p w:rsidR="00744502" w:rsidRPr="00744502" w:rsidRDefault="00744502" w:rsidP="00744502">
      <w:pPr>
        <w:rPr>
          <w:lang w:val="en-US"/>
        </w:rPr>
      </w:pPr>
      <w:r w:rsidRPr="00744502">
        <w:rPr>
          <w:lang w:val="en-US"/>
        </w:rPr>
        <w:t>The recommended WF is</w:t>
      </w:r>
      <w:r>
        <w:rPr>
          <w:lang w:val="en-US"/>
        </w:rPr>
        <w:t>:</w:t>
      </w:r>
      <w:r w:rsidRPr="00744502">
        <w:rPr>
          <w:lang w:val="en-US"/>
        </w:rPr>
        <w:t xml:space="preserve"> </w:t>
      </w:r>
    </w:p>
    <w:p w:rsidR="002E45E1" w:rsidRPr="00744502" w:rsidRDefault="00E93C0C" w:rsidP="00E93C0C">
      <w:pPr>
        <w:numPr>
          <w:ilvl w:val="0"/>
          <w:numId w:val="11"/>
        </w:numPr>
        <w:rPr>
          <w:i/>
          <w:lang w:val="en-US" w:eastAsia="en-US"/>
        </w:rPr>
      </w:pPr>
      <w:r w:rsidRPr="00744502">
        <w:rPr>
          <w:i/>
          <w:lang w:val="en-US" w:eastAsia="en-US"/>
        </w:rPr>
        <w:t xml:space="preserve">Further discuss if mandatory support is acceptable with limitation that FR1 with the existing frequency range, i.e. </w:t>
      </w:r>
      <w:r w:rsidRPr="00744502">
        <w:rPr>
          <w:i/>
          <w:lang w:eastAsia="en-US"/>
        </w:rPr>
        <w:t>410 MHz – 7125 MHz</w:t>
      </w:r>
      <w:r w:rsidRPr="00744502">
        <w:rPr>
          <w:i/>
          <w:lang w:val="en-US" w:eastAsia="en-US"/>
        </w:rPr>
        <w:t>.</w:t>
      </w:r>
    </w:p>
    <w:p w:rsidR="003A7DF6" w:rsidRDefault="00744502" w:rsidP="003A7DF6">
      <w:pPr>
        <w:rPr>
          <w:bCs/>
          <w:iCs/>
          <w:lang w:eastAsia="ja-JP"/>
        </w:rPr>
      </w:pPr>
      <w:r>
        <w:rPr>
          <w:lang w:val="en-US" w:eastAsia="en-US"/>
        </w:rPr>
        <w:t xml:space="preserve">Due to lack of time to further discuss, there was no conclusion in the end. The concern for the issue is that if </w:t>
      </w:r>
      <w:r w:rsidRPr="00105DFD">
        <w:rPr>
          <w:bCs/>
          <w:iCs/>
          <w:lang w:eastAsia="ja-JP"/>
        </w:rPr>
        <w:t xml:space="preserve">bands </w:t>
      </w:r>
      <w:r>
        <w:rPr>
          <w:bCs/>
          <w:iCs/>
          <w:lang w:eastAsia="ja-JP"/>
        </w:rPr>
        <w:t xml:space="preserve">for FR1 </w:t>
      </w:r>
      <w:r w:rsidRPr="00105DFD">
        <w:rPr>
          <w:bCs/>
          <w:iCs/>
          <w:lang w:eastAsia="ja-JP"/>
        </w:rPr>
        <w:t xml:space="preserve">going higher, it is not clear UE will always be </w:t>
      </w:r>
      <w:r>
        <w:rPr>
          <w:bCs/>
          <w:iCs/>
          <w:lang w:eastAsia="ja-JP"/>
        </w:rPr>
        <w:t>able to support simultaneous Rx/</w:t>
      </w:r>
      <w:proofErr w:type="spellStart"/>
      <w:r w:rsidRPr="00105DFD">
        <w:rPr>
          <w:bCs/>
          <w:iCs/>
          <w:lang w:eastAsia="ja-JP"/>
        </w:rPr>
        <w:t>Tx</w:t>
      </w:r>
      <w:proofErr w:type="spellEnd"/>
      <w:r>
        <w:rPr>
          <w:bCs/>
          <w:iCs/>
          <w:lang w:eastAsia="ja-JP"/>
        </w:rPr>
        <w:t xml:space="preserve"> capability. Therefore, we can further check if the capability can be mandatorily supported if there is an upper bound for the FR1 frequency range. In our view, the upper bound can be set to the existing FR1 upper limit, i.e. 7125MHz.</w:t>
      </w:r>
    </w:p>
    <w:p w:rsidR="00744502" w:rsidRPr="00744502" w:rsidRDefault="00744502" w:rsidP="00744502">
      <w:pPr>
        <w:rPr>
          <w:b/>
          <w:i/>
          <w:lang w:val="en-US" w:eastAsia="en-US"/>
        </w:rPr>
      </w:pPr>
      <w:r w:rsidRPr="00744502">
        <w:rPr>
          <w:b/>
          <w:i/>
          <w:lang w:eastAsia="en-US"/>
        </w:rPr>
        <w:t>Proposal 2: F</w:t>
      </w:r>
      <w:r w:rsidRPr="00744502">
        <w:rPr>
          <w:b/>
          <w:i/>
          <w:lang w:val="en-US" w:eastAsia="en-US"/>
        </w:rPr>
        <w:t>or FR1+FR2 TDD-TDD band combinations, the simultaneous Rx/</w:t>
      </w:r>
      <w:proofErr w:type="spellStart"/>
      <w:r w:rsidRPr="00744502">
        <w:rPr>
          <w:b/>
          <w:i/>
          <w:lang w:val="en-US" w:eastAsia="en-US"/>
        </w:rPr>
        <w:t>Tx</w:t>
      </w:r>
      <w:proofErr w:type="spellEnd"/>
      <w:r w:rsidRPr="00744502">
        <w:rPr>
          <w:b/>
          <w:i/>
          <w:lang w:val="en-US" w:eastAsia="en-US"/>
        </w:rPr>
        <w:t xml:space="preserve"> capability shall be mandatory if FR1 TDD band does not exceed the frequency range of 7125MHz. </w:t>
      </w:r>
    </w:p>
    <w:p w:rsidR="003A7DF6" w:rsidRDefault="003A7DF6" w:rsidP="000365F9">
      <w:pPr>
        <w:pStyle w:val="Heading2"/>
        <w:tabs>
          <w:tab w:val="clear" w:pos="681"/>
          <w:tab w:val="num" w:pos="397"/>
        </w:tabs>
        <w:spacing w:after="240"/>
        <w:ind w:left="0"/>
        <w:rPr>
          <w:lang w:val="en-US"/>
        </w:rPr>
      </w:pPr>
      <w:r w:rsidRPr="003A7DF6">
        <w:rPr>
          <w:lang w:val="en-US"/>
        </w:rPr>
        <w:t>Simultaneous Rx/</w:t>
      </w:r>
      <w:proofErr w:type="spellStart"/>
      <w:r w:rsidRPr="003A7DF6">
        <w:rPr>
          <w:lang w:val="en-US"/>
        </w:rPr>
        <w:t>Tx</w:t>
      </w:r>
      <w:proofErr w:type="spellEnd"/>
      <w:r w:rsidRPr="003A7DF6">
        <w:rPr>
          <w:lang w:val="en-US"/>
        </w:rPr>
        <w:t xml:space="preserve"> capability for FR2+FR2 TDD-TDD band combination</w:t>
      </w:r>
    </w:p>
    <w:p w:rsidR="000365F9" w:rsidRPr="00744502" w:rsidRDefault="000365F9" w:rsidP="000365F9">
      <w:pPr>
        <w:rPr>
          <w:lang w:val="en-US"/>
        </w:rPr>
      </w:pPr>
      <w:r>
        <w:rPr>
          <w:rFonts w:hint="eastAsia"/>
          <w:lang w:val="en-US"/>
        </w:rPr>
        <w:t>T</w:t>
      </w:r>
      <w:r>
        <w:rPr>
          <w:lang w:val="en-US"/>
        </w:rPr>
        <w:t xml:space="preserve">here are two options for FR2+FR2 TDD-TDD band combination. </w:t>
      </w:r>
    </w:p>
    <w:p w:rsidR="002E45E1" w:rsidRPr="000365F9" w:rsidRDefault="00E93C0C" w:rsidP="00E93C0C">
      <w:pPr>
        <w:numPr>
          <w:ilvl w:val="0"/>
          <w:numId w:val="11"/>
        </w:numPr>
        <w:tabs>
          <w:tab w:val="num" w:pos="1440"/>
        </w:tabs>
        <w:rPr>
          <w:i/>
          <w:lang w:val="en-US" w:eastAsia="en-US"/>
        </w:rPr>
      </w:pPr>
      <w:r w:rsidRPr="000365F9">
        <w:rPr>
          <w:i/>
          <w:lang w:val="en-US" w:eastAsia="en-US"/>
        </w:rPr>
        <w:t>Option 1: discuss whether or not simultaneous Rx/</w:t>
      </w:r>
      <w:proofErr w:type="spellStart"/>
      <w:r w:rsidRPr="000365F9">
        <w:rPr>
          <w:i/>
          <w:lang w:val="en-US" w:eastAsia="en-US"/>
        </w:rPr>
        <w:t>Tx</w:t>
      </w:r>
      <w:proofErr w:type="spellEnd"/>
      <w:r w:rsidRPr="000365F9">
        <w:rPr>
          <w:i/>
          <w:lang w:val="en-US" w:eastAsia="en-US"/>
        </w:rPr>
        <w:t xml:space="preserve"> is feasible for this scenario</w:t>
      </w:r>
    </w:p>
    <w:p w:rsidR="002E45E1" w:rsidRPr="000365F9" w:rsidRDefault="00E93C0C" w:rsidP="00E93C0C">
      <w:pPr>
        <w:numPr>
          <w:ilvl w:val="0"/>
          <w:numId w:val="11"/>
        </w:numPr>
        <w:tabs>
          <w:tab w:val="num" w:pos="1440"/>
        </w:tabs>
        <w:rPr>
          <w:i/>
          <w:lang w:val="en-US" w:eastAsia="en-US"/>
        </w:rPr>
      </w:pPr>
      <w:r w:rsidRPr="000365F9">
        <w:rPr>
          <w:i/>
          <w:lang w:val="en-US" w:eastAsia="en-US"/>
        </w:rPr>
        <w:t xml:space="preserve">Option 2: study case by case </w:t>
      </w:r>
    </w:p>
    <w:p w:rsidR="000365F9" w:rsidRDefault="000365F9" w:rsidP="000365F9">
      <w:pPr>
        <w:rPr>
          <w:lang w:val="en-US" w:eastAsia="en-US"/>
        </w:rPr>
      </w:pPr>
      <w:r w:rsidRPr="000365F9">
        <w:rPr>
          <w:lang w:val="en-US" w:eastAsia="en-US"/>
        </w:rPr>
        <w:t>The recommended WF is:</w:t>
      </w:r>
    </w:p>
    <w:p w:rsidR="002E45E1" w:rsidRPr="000365F9" w:rsidRDefault="00E93C0C" w:rsidP="00E93C0C">
      <w:pPr>
        <w:numPr>
          <w:ilvl w:val="0"/>
          <w:numId w:val="11"/>
        </w:numPr>
        <w:tabs>
          <w:tab w:val="num" w:pos="1440"/>
        </w:tabs>
        <w:rPr>
          <w:i/>
          <w:lang w:val="en-US" w:eastAsia="en-US"/>
        </w:rPr>
      </w:pPr>
      <w:r w:rsidRPr="000365F9">
        <w:rPr>
          <w:i/>
          <w:lang w:val="en-US" w:eastAsia="en-US"/>
        </w:rPr>
        <w:t xml:space="preserve">Further discuss whether it is a feasible scenario based on available FR2 inter-band combinations </w:t>
      </w:r>
    </w:p>
    <w:p w:rsidR="000365F9" w:rsidRPr="000365F9" w:rsidRDefault="005250C7" w:rsidP="000365F9">
      <w:pPr>
        <w:rPr>
          <w:lang w:val="en-US" w:eastAsia="en-US"/>
        </w:rPr>
      </w:pPr>
      <w:r>
        <w:rPr>
          <w:lang w:val="en-US" w:eastAsia="en-US"/>
        </w:rPr>
        <w:t xml:space="preserve">Some companies thought it is not a feasible scenario, </w:t>
      </w:r>
      <w:r>
        <w:t>since no applicable reference architecture has been discussed. In our view, f</w:t>
      </w:r>
      <w:r w:rsidRPr="005250C7">
        <w:t xml:space="preserve">or the existing FR2 band combinations, e.g. n257+n259, n260+n261, </w:t>
      </w:r>
      <w:r>
        <w:t xml:space="preserve">these </w:t>
      </w:r>
      <w:r w:rsidRPr="005250C7">
        <w:t>band combinations can</w:t>
      </w:r>
      <w:r>
        <w:t>not</w:t>
      </w:r>
      <w:r w:rsidRPr="005250C7">
        <w:t xml:space="preserve"> support simultaneous Rx/</w:t>
      </w:r>
      <w:proofErr w:type="spellStart"/>
      <w:r w:rsidRPr="005250C7">
        <w:t>Tx</w:t>
      </w:r>
      <w:proofErr w:type="spellEnd"/>
      <w:r w:rsidRPr="005250C7">
        <w:t xml:space="preserve"> operation. Thus we think the capability is also applicable to FR2 TDD-TDD band combinations.</w:t>
      </w:r>
      <w:r>
        <w:t xml:space="preserve"> Though when the IE is absent, it means that the combination cannot support the simultaneous Rx/</w:t>
      </w:r>
      <w:proofErr w:type="spellStart"/>
      <w:r>
        <w:t>Tx</w:t>
      </w:r>
      <w:proofErr w:type="spellEnd"/>
      <w:r>
        <w:t xml:space="preserve"> capability, at least from the existing RAN2 signalling design, it does not exclude the applicability of FR2</w:t>
      </w:r>
      <w:r>
        <w:rPr>
          <w:rFonts w:hint="eastAsia"/>
        </w:rPr>
        <w:t>+</w:t>
      </w:r>
      <w:r>
        <w:t xml:space="preserve">FR2 TDD-TDD band combinations. </w:t>
      </w:r>
    </w:p>
    <w:p w:rsidR="00167F84" w:rsidRPr="005369EE" w:rsidRDefault="00167F84" w:rsidP="005369EE">
      <w:pPr>
        <w:rPr>
          <w:b/>
          <w:i/>
          <w:lang w:val="en-US" w:eastAsia="en-US"/>
        </w:rPr>
      </w:pPr>
      <w:r w:rsidRPr="005369EE">
        <w:rPr>
          <w:b/>
          <w:i/>
          <w:lang w:val="en-US" w:eastAsia="en-US"/>
        </w:rPr>
        <w:t xml:space="preserve">Proposal </w:t>
      </w:r>
      <w:r w:rsidR="005250C7">
        <w:rPr>
          <w:b/>
          <w:i/>
          <w:lang w:val="en-US" w:eastAsia="en-US"/>
        </w:rPr>
        <w:t>3</w:t>
      </w:r>
      <w:r w:rsidRPr="005369EE">
        <w:rPr>
          <w:b/>
          <w:i/>
          <w:lang w:val="en-US" w:eastAsia="en-US"/>
        </w:rPr>
        <w:t>:</w:t>
      </w:r>
      <w:r w:rsidR="005250C7">
        <w:rPr>
          <w:b/>
          <w:i/>
          <w:lang w:val="en-US" w:eastAsia="en-US"/>
        </w:rPr>
        <w:t xml:space="preserve"> </w:t>
      </w:r>
      <w:r w:rsidR="000B2E67">
        <w:rPr>
          <w:b/>
          <w:i/>
          <w:lang w:val="en-US" w:eastAsia="en-US"/>
        </w:rPr>
        <w:t>For FR2+FR2 TDD-TDD band combinations, the simultaneous Rx/</w:t>
      </w:r>
      <w:proofErr w:type="spellStart"/>
      <w:r w:rsidR="000B2E67">
        <w:rPr>
          <w:b/>
          <w:i/>
          <w:lang w:val="en-US" w:eastAsia="en-US"/>
        </w:rPr>
        <w:t>Tx</w:t>
      </w:r>
      <w:proofErr w:type="spellEnd"/>
      <w:r w:rsidR="000B2E67">
        <w:rPr>
          <w:b/>
          <w:i/>
          <w:lang w:val="en-US" w:eastAsia="en-US"/>
        </w:rPr>
        <w:t xml:space="preserve"> capability is studied case by case.</w:t>
      </w:r>
    </w:p>
    <w:p w:rsidR="00A33E8E" w:rsidRDefault="00A33E8E" w:rsidP="00A33E8E">
      <w:pPr>
        <w:pStyle w:val="Heading1"/>
        <w:spacing w:after="240"/>
        <w:rPr>
          <w:rFonts w:eastAsia="宋体"/>
          <w:lang w:eastAsia="zh-CN"/>
        </w:rPr>
      </w:pPr>
      <w:r>
        <w:rPr>
          <w:rFonts w:eastAsia="宋体" w:hint="eastAsia"/>
          <w:lang w:eastAsia="zh-CN"/>
        </w:rPr>
        <w:t>Conclusion</w:t>
      </w:r>
    </w:p>
    <w:p w:rsidR="003A7DF6" w:rsidRDefault="005369EE" w:rsidP="00303E78">
      <w:r>
        <w:t>This contribution provides</w:t>
      </w:r>
      <w:r w:rsidR="000B2E67">
        <w:t xml:space="preserve"> further consideration on </w:t>
      </w:r>
      <w:r w:rsidR="000B2E67" w:rsidRPr="00902E49">
        <w:rPr>
          <w:lang w:val="en-US"/>
        </w:rPr>
        <w:t>Rules to decide simultaneous Rx/</w:t>
      </w:r>
      <w:proofErr w:type="spellStart"/>
      <w:r w:rsidR="000B2E67" w:rsidRPr="00902E49">
        <w:rPr>
          <w:lang w:val="en-US"/>
        </w:rPr>
        <w:t>Tx</w:t>
      </w:r>
      <w:proofErr w:type="spellEnd"/>
      <w:r w:rsidR="000B2E67" w:rsidRPr="00902E49">
        <w:rPr>
          <w:lang w:val="en-US"/>
        </w:rPr>
        <w:t xml:space="preserve"> capability for a band combination</w:t>
      </w:r>
      <w:r w:rsidR="000B2E67">
        <w:rPr>
          <w:lang w:val="en-US"/>
        </w:rPr>
        <w:t xml:space="preserve">. </w:t>
      </w:r>
    </w:p>
    <w:p w:rsidR="000B2E67" w:rsidRDefault="000B2E67" w:rsidP="000B2E67">
      <w:pPr>
        <w:rPr>
          <w:b/>
          <w:i/>
          <w:lang w:val="en-US" w:eastAsia="en-US"/>
        </w:rPr>
      </w:pPr>
      <w:r w:rsidRPr="00744502">
        <w:rPr>
          <w:b/>
          <w:i/>
          <w:lang w:val="en-US" w:eastAsia="en-US"/>
        </w:rPr>
        <w:lastRenderedPageBreak/>
        <w:t xml:space="preserve">Proposal 1: For </w:t>
      </w:r>
      <w:r w:rsidRPr="00744502">
        <w:rPr>
          <w:b/>
          <w:bCs/>
          <w:i/>
          <w:lang w:val="en-US" w:eastAsia="en-US"/>
        </w:rPr>
        <w:t>FR1+FR1 FDD-TDD band combination</w:t>
      </w:r>
      <w:r>
        <w:rPr>
          <w:b/>
          <w:bCs/>
          <w:i/>
          <w:lang w:val="en-US" w:eastAsia="en-US"/>
        </w:rPr>
        <w:t>s</w:t>
      </w:r>
      <w:r w:rsidRPr="00744502">
        <w:rPr>
          <w:b/>
          <w:bCs/>
          <w:i/>
          <w:lang w:val="en-US" w:eastAsia="en-US"/>
        </w:rPr>
        <w:t>, simultaneous Rx/</w:t>
      </w:r>
      <w:proofErr w:type="spellStart"/>
      <w:r w:rsidRPr="00744502">
        <w:rPr>
          <w:b/>
          <w:bCs/>
          <w:i/>
          <w:lang w:val="en-US" w:eastAsia="en-US"/>
        </w:rPr>
        <w:t>Tx</w:t>
      </w:r>
      <w:proofErr w:type="spellEnd"/>
      <w:r w:rsidRPr="00744502">
        <w:rPr>
          <w:b/>
          <w:bCs/>
          <w:i/>
          <w:lang w:val="en-US" w:eastAsia="en-US"/>
        </w:rPr>
        <w:t xml:space="preserve"> capability is mandatorily supported if the combination has no MSD </w:t>
      </w:r>
      <w:r>
        <w:rPr>
          <w:b/>
          <w:bCs/>
          <w:i/>
          <w:lang w:val="en-US" w:eastAsia="en-US"/>
        </w:rPr>
        <w:t xml:space="preserve">issue </w:t>
      </w:r>
      <w:r w:rsidRPr="00744502">
        <w:rPr>
          <w:b/>
          <w:bCs/>
          <w:i/>
          <w:lang w:val="en-US" w:eastAsia="en-US"/>
        </w:rPr>
        <w:t>or the MSD less than a certain value (to be discussed in RAN4). For the combination with MSD exceed</w:t>
      </w:r>
      <w:r>
        <w:rPr>
          <w:b/>
          <w:bCs/>
          <w:i/>
          <w:lang w:val="en-US" w:eastAsia="en-US"/>
        </w:rPr>
        <w:t>ing</w:t>
      </w:r>
      <w:r w:rsidRPr="00744502">
        <w:rPr>
          <w:b/>
          <w:bCs/>
          <w:i/>
          <w:lang w:val="en-US" w:eastAsia="en-US"/>
        </w:rPr>
        <w:t xml:space="preserve"> the </w:t>
      </w:r>
      <w:r w:rsidRPr="00744502">
        <w:rPr>
          <w:b/>
          <w:i/>
          <w:lang w:val="en-US" w:eastAsia="en-US"/>
        </w:rPr>
        <w:t xml:space="preserve">threshold, whether the capability can be </w:t>
      </w:r>
      <w:r>
        <w:rPr>
          <w:b/>
          <w:i/>
          <w:lang w:val="en-US" w:eastAsia="en-US"/>
        </w:rPr>
        <w:t xml:space="preserve">mandatorily </w:t>
      </w:r>
      <w:r w:rsidRPr="00744502">
        <w:rPr>
          <w:b/>
          <w:i/>
          <w:lang w:val="en-US" w:eastAsia="en-US"/>
        </w:rPr>
        <w:t xml:space="preserve">supported should be checked under the WI. </w:t>
      </w:r>
    </w:p>
    <w:p w:rsidR="000B2E67" w:rsidRPr="00744502" w:rsidRDefault="000B2E67" w:rsidP="000B2E67">
      <w:pPr>
        <w:rPr>
          <w:b/>
          <w:i/>
          <w:lang w:val="en-US" w:eastAsia="en-US"/>
        </w:rPr>
      </w:pPr>
      <w:r w:rsidRPr="00744502">
        <w:rPr>
          <w:b/>
          <w:i/>
          <w:lang w:eastAsia="en-US"/>
        </w:rPr>
        <w:t>Proposal 2: F</w:t>
      </w:r>
      <w:r w:rsidRPr="00744502">
        <w:rPr>
          <w:b/>
          <w:i/>
          <w:lang w:val="en-US" w:eastAsia="en-US"/>
        </w:rPr>
        <w:t>or FR1+FR2 TDD-TDD band combinations, the simultaneous Rx/</w:t>
      </w:r>
      <w:proofErr w:type="spellStart"/>
      <w:r w:rsidRPr="00744502">
        <w:rPr>
          <w:b/>
          <w:i/>
          <w:lang w:val="en-US" w:eastAsia="en-US"/>
        </w:rPr>
        <w:t>Tx</w:t>
      </w:r>
      <w:proofErr w:type="spellEnd"/>
      <w:r w:rsidRPr="00744502">
        <w:rPr>
          <w:b/>
          <w:i/>
          <w:lang w:val="en-US" w:eastAsia="en-US"/>
        </w:rPr>
        <w:t xml:space="preserve"> capability shall be mandatory if FR1 TDD band does not exceed the frequency range of 7125MHz. </w:t>
      </w:r>
    </w:p>
    <w:p w:rsidR="000B2E67" w:rsidRPr="005369EE" w:rsidRDefault="000B2E67" w:rsidP="000B2E67">
      <w:pPr>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For FR2+FR2 TDD-TDD band combinations, the simultaneous Rx/</w:t>
      </w:r>
      <w:proofErr w:type="spellStart"/>
      <w:r>
        <w:rPr>
          <w:b/>
          <w:i/>
          <w:lang w:val="en-US" w:eastAsia="en-US"/>
        </w:rPr>
        <w:t>Tx</w:t>
      </w:r>
      <w:proofErr w:type="spellEnd"/>
      <w:r>
        <w:rPr>
          <w:b/>
          <w:i/>
          <w:lang w:val="en-US" w:eastAsia="en-US"/>
        </w:rPr>
        <w:t xml:space="preserve"> capability is studied case by case.</w:t>
      </w:r>
    </w:p>
    <w:p w:rsidR="000B2E67" w:rsidRPr="00744502" w:rsidRDefault="000B2E67" w:rsidP="000B2E67">
      <w:pPr>
        <w:rPr>
          <w:b/>
          <w:i/>
          <w:lang w:val="en-US"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950454" w:rsidRPr="00950454">
        <w:t>R4-2107841</w:t>
      </w:r>
      <w:r w:rsidR="005369EE">
        <w:t>,</w:t>
      </w:r>
      <w:r w:rsidR="005369EE" w:rsidRPr="005369EE">
        <w:t xml:space="preserve"> </w:t>
      </w:r>
      <w:r w:rsidR="00950454" w:rsidRPr="00950454">
        <w:t xml:space="preserve">WF on applicability and rules for simultaneous </w:t>
      </w:r>
      <w:proofErr w:type="spellStart"/>
      <w:r w:rsidR="00950454" w:rsidRPr="00950454">
        <w:t>RxTx</w:t>
      </w:r>
      <w:proofErr w:type="spellEnd"/>
      <w:r w:rsidR="00950454">
        <w:t xml:space="preserve">, Huawei, </w:t>
      </w:r>
      <w:proofErr w:type="spellStart"/>
      <w:r w:rsidR="00950454">
        <w:t>HiSilicon</w:t>
      </w:r>
      <w:proofErr w:type="spellEnd"/>
    </w:p>
    <w:p w:rsidR="00950454" w:rsidRDefault="00950454" w:rsidP="00F71A33">
      <w:r>
        <w:t xml:space="preserve">[2] </w:t>
      </w:r>
      <w:r w:rsidRPr="00950454">
        <w:t>R4-2107842</w:t>
      </w:r>
      <w:r>
        <w:t xml:space="preserve">, </w:t>
      </w:r>
      <w:r w:rsidRPr="00950454">
        <w:t>WF on release independent for simultaneous Rx/</w:t>
      </w:r>
      <w:proofErr w:type="spellStart"/>
      <w:r w:rsidRPr="00950454">
        <w:t>Tx</w:t>
      </w:r>
      <w:proofErr w:type="spellEnd"/>
      <w:r>
        <w:t>, CHTTL, Huawei</w:t>
      </w:r>
    </w:p>
    <w:p w:rsidR="00950454" w:rsidRDefault="00950454" w:rsidP="00F71A33">
      <w:r>
        <w:t xml:space="preserve">[3] </w:t>
      </w:r>
      <w:r w:rsidRPr="00950454">
        <w:t>R4-210784</w:t>
      </w:r>
      <w:r>
        <w:t xml:space="preserve">3, </w:t>
      </w:r>
      <w:r w:rsidRPr="00950454">
        <w:t>WF on simultaneous Rx/</w:t>
      </w:r>
      <w:proofErr w:type="spellStart"/>
      <w:r w:rsidRPr="00950454">
        <w:t>Tx</w:t>
      </w:r>
      <w:proofErr w:type="spellEnd"/>
      <w:r w:rsidRPr="00950454">
        <w:t xml:space="preserve"> for the inter-band combinations having more than two bands</w:t>
      </w:r>
      <w:r>
        <w:t>, Qualcomm</w:t>
      </w:r>
    </w:p>
    <w:p w:rsidR="00950454" w:rsidRDefault="00950454" w:rsidP="00F71A33">
      <w:r>
        <w:t xml:space="preserve">[4] </w:t>
      </w:r>
      <w:r w:rsidRPr="00950454">
        <w:t>R4-2108007</w:t>
      </w:r>
      <w:r>
        <w:t xml:space="preserve">, </w:t>
      </w:r>
      <w:r w:rsidRPr="00950454">
        <w:t>WF on simultaneous Rx/</w:t>
      </w:r>
      <w:proofErr w:type="spellStart"/>
      <w:r w:rsidRPr="00950454">
        <w:t>Tx</w:t>
      </w:r>
      <w:proofErr w:type="spellEnd"/>
      <w:r w:rsidRPr="00950454">
        <w:t xml:space="preserve"> for synchronous/asynchronous NR-DC</w:t>
      </w:r>
      <w:r>
        <w:t>, Apple</w:t>
      </w:r>
    </w:p>
    <w:p w:rsidR="00950454" w:rsidRDefault="00950454" w:rsidP="00F71A33"/>
    <w:sectPr w:rsidR="0095045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621" w:rsidRDefault="00E92621" w:rsidP="0052762B">
      <w:r>
        <w:separator/>
      </w:r>
    </w:p>
  </w:endnote>
  <w:endnote w:type="continuationSeparator" w:id="0">
    <w:p w:rsidR="00E92621" w:rsidRDefault="00E9262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621" w:rsidRDefault="00E92621" w:rsidP="0052762B">
      <w:r>
        <w:separator/>
      </w:r>
    </w:p>
  </w:footnote>
  <w:footnote w:type="continuationSeparator" w:id="0">
    <w:p w:rsidR="00E92621" w:rsidRDefault="00E9262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67B95"/>
    <w:multiLevelType w:val="hybridMultilevel"/>
    <w:tmpl w:val="B024C69A"/>
    <w:lvl w:ilvl="0" w:tplc="A37C3DA6">
      <w:start w:val="1"/>
      <w:numFmt w:val="bullet"/>
      <w:lvlText w:val="-"/>
      <w:lvlJc w:val="left"/>
      <w:pPr>
        <w:tabs>
          <w:tab w:val="num" w:pos="644"/>
        </w:tabs>
        <w:ind w:left="644" w:hanging="360"/>
      </w:pPr>
      <w:rPr>
        <w:rFonts w:ascii="Calibri" w:hAnsi="Calibri" w:hint="default"/>
      </w:rPr>
    </w:lvl>
    <w:lvl w:ilvl="1" w:tplc="66AAFB2E">
      <w:start w:val="1"/>
      <w:numFmt w:val="bullet"/>
      <w:lvlText w:val="-"/>
      <w:lvlJc w:val="left"/>
      <w:pPr>
        <w:tabs>
          <w:tab w:val="num" w:pos="1364"/>
        </w:tabs>
        <w:ind w:left="1364" w:hanging="360"/>
      </w:pPr>
      <w:rPr>
        <w:rFonts w:ascii="Calibri" w:hAnsi="Calibri" w:hint="default"/>
      </w:rPr>
    </w:lvl>
    <w:lvl w:ilvl="2" w:tplc="9522E8C0" w:tentative="1">
      <w:start w:val="1"/>
      <w:numFmt w:val="bullet"/>
      <w:lvlText w:val="-"/>
      <w:lvlJc w:val="left"/>
      <w:pPr>
        <w:tabs>
          <w:tab w:val="num" w:pos="2084"/>
        </w:tabs>
        <w:ind w:left="2084" w:hanging="360"/>
      </w:pPr>
      <w:rPr>
        <w:rFonts w:ascii="Calibri" w:hAnsi="Calibri" w:hint="default"/>
      </w:rPr>
    </w:lvl>
    <w:lvl w:ilvl="3" w:tplc="9F0E72AE" w:tentative="1">
      <w:start w:val="1"/>
      <w:numFmt w:val="bullet"/>
      <w:lvlText w:val="-"/>
      <w:lvlJc w:val="left"/>
      <w:pPr>
        <w:tabs>
          <w:tab w:val="num" w:pos="2804"/>
        </w:tabs>
        <w:ind w:left="2804" w:hanging="360"/>
      </w:pPr>
      <w:rPr>
        <w:rFonts w:ascii="Calibri" w:hAnsi="Calibri" w:hint="default"/>
      </w:rPr>
    </w:lvl>
    <w:lvl w:ilvl="4" w:tplc="16ECC02A" w:tentative="1">
      <w:start w:val="1"/>
      <w:numFmt w:val="bullet"/>
      <w:lvlText w:val="-"/>
      <w:lvlJc w:val="left"/>
      <w:pPr>
        <w:tabs>
          <w:tab w:val="num" w:pos="3524"/>
        </w:tabs>
        <w:ind w:left="3524" w:hanging="360"/>
      </w:pPr>
      <w:rPr>
        <w:rFonts w:ascii="Calibri" w:hAnsi="Calibri" w:hint="default"/>
      </w:rPr>
    </w:lvl>
    <w:lvl w:ilvl="5" w:tplc="7B4EDB04" w:tentative="1">
      <w:start w:val="1"/>
      <w:numFmt w:val="bullet"/>
      <w:lvlText w:val="-"/>
      <w:lvlJc w:val="left"/>
      <w:pPr>
        <w:tabs>
          <w:tab w:val="num" w:pos="4244"/>
        </w:tabs>
        <w:ind w:left="4244" w:hanging="360"/>
      </w:pPr>
      <w:rPr>
        <w:rFonts w:ascii="Calibri" w:hAnsi="Calibri" w:hint="default"/>
      </w:rPr>
    </w:lvl>
    <w:lvl w:ilvl="6" w:tplc="E2242388" w:tentative="1">
      <w:start w:val="1"/>
      <w:numFmt w:val="bullet"/>
      <w:lvlText w:val="-"/>
      <w:lvlJc w:val="left"/>
      <w:pPr>
        <w:tabs>
          <w:tab w:val="num" w:pos="4964"/>
        </w:tabs>
        <w:ind w:left="4964" w:hanging="360"/>
      </w:pPr>
      <w:rPr>
        <w:rFonts w:ascii="Calibri" w:hAnsi="Calibri" w:hint="default"/>
      </w:rPr>
    </w:lvl>
    <w:lvl w:ilvl="7" w:tplc="66D0D9B8" w:tentative="1">
      <w:start w:val="1"/>
      <w:numFmt w:val="bullet"/>
      <w:lvlText w:val="-"/>
      <w:lvlJc w:val="left"/>
      <w:pPr>
        <w:tabs>
          <w:tab w:val="num" w:pos="5684"/>
        </w:tabs>
        <w:ind w:left="5684" w:hanging="360"/>
      </w:pPr>
      <w:rPr>
        <w:rFonts w:ascii="Calibri" w:hAnsi="Calibri" w:hint="default"/>
      </w:rPr>
    </w:lvl>
    <w:lvl w:ilvl="8" w:tplc="F698C36E" w:tentative="1">
      <w:start w:val="1"/>
      <w:numFmt w:val="bullet"/>
      <w:lvlText w:val="-"/>
      <w:lvlJc w:val="left"/>
      <w:pPr>
        <w:tabs>
          <w:tab w:val="num" w:pos="6404"/>
        </w:tabs>
        <w:ind w:left="6404" w:hanging="360"/>
      </w:pPr>
      <w:rPr>
        <w:rFonts w:ascii="Calibri" w:hAnsi="Calibri"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D6D188D"/>
    <w:multiLevelType w:val="hybridMultilevel"/>
    <w:tmpl w:val="093A39A0"/>
    <w:lvl w:ilvl="0" w:tplc="2FC639D6">
      <w:start w:val="1"/>
      <w:numFmt w:val="bullet"/>
      <w:lvlText w:val="-"/>
      <w:lvlJc w:val="left"/>
      <w:pPr>
        <w:tabs>
          <w:tab w:val="num" w:pos="644"/>
        </w:tabs>
        <w:ind w:left="644" w:hanging="360"/>
      </w:pPr>
      <w:rPr>
        <w:rFonts w:ascii="Calibri" w:hAnsi="Calibri" w:hint="default"/>
      </w:rPr>
    </w:lvl>
    <w:lvl w:ilvl="1" w:tplc="3F680716">
      <w:start w:val="1"/>
      <w:numFmt w:val="bullet"/>
      <w:lvlText w:val="-"/>
      <w:lvlJc w:val="left"/>
      <w:pPr>
        <w:tabs>
          <w:tab w:val="num" w:pos="1364"/>
        </w:tabs>
        <w:ind w:left="1364" w:hanging="360"/>
      </w:pPr>
      <w:rPr>
        <w:rFonts w:ascii="Calibri" w:hAnsi="Calibri" w:hint="default"/>
      </w:rPr>
    </w:lvl>
    <w:lvl w:ilvl="2" w:tplc="187EF5CA" w:tentative="1">
      <w:start w:val="1"/>
      <w:numFmt w:val="bullet"/>
      <w:lvlText w:val="-"/>
      <w:lvlJc w:val="left"/>
      <w:pPr>
        <w:tabs>
          <w:tab w:val="num" w:pos="2084"/>
        </w:tabs>
        <w:ind w:left="2084" w:hanging="360"/>
      </w:pPr>
      <w:rPr>
        <w:rFonts w:ascii="Calibri" w:hAnsi="Calibri" w:hint="default"/>
      </w:rPr>
    </w:lvl>
    <w:lvl w:ilvl="3" w:tplc="DEE22EBC" w:tentative="1">
      <w:start w:val="1"/>
      <w:numFmt w:val="bullet"/>
      <w:lvlText w:val="-"/>
      <w:lvlJc w:val="left"/>
      <w:pPr>
        <w:tabs>
          <w:tab w:val="num" w:pos="2804"/>
        </w:tabs>
        <w:ind w:left="2804" w:hanging="360"/>
      </w:pPr>
      <w:rPr>
        <w:rFonts w:ascii="Calibri" w:hAnsi="Calibri" w:hint="default"/>
      </w:rPr>
    </w:lvl>
    <w:lvl w:ilvl="4" w:tplc="44F26104" w:tentative="1">
      <w:start w:val="1"/>
      <w:numFmt w:val="bullet"/>
      <w:lvlText w:val="-"/>
      <w:lvlJc w:val="left"/>
      <w:pPr>
        <w:tabs>
          <w:tab w:val="num" w:pos="3524"/>
        </w:tabs>
        <w:ind w:left="3524" w:hanging="360"/>
      </w:pPr>
      <w:rPr>
        <w:rFonts w:ascii="Calibri" w:hAnsi="Calibri" w:hint="default"/>
      </w:rPr>
    </w:lvl>
    <w:lvl w:ilvl="5" w:tplc="735E69C0" w:tentative="1">
      <w:start w:val="1"/>
      <w:numFmt w:val="bullet"/>
      <w:lvlText w:val="-"/>
      <w:lvlJc w:val="left"/>
      <w:pPr>
        <w:tabs>
          <w:tab w:val="num" w:pos="4244"/>
        </w:tabs>
        <w:ind w:left="4244" w:hanging="360"/>
      </w:pPr>
      <w:rPr>
        <w:rFonts w:ascii="Calibri" w:hAnsi="Calibri" w:hint="default"/>
      </w:rPr>
    </w:lvl>
    <w:lvl w:ilvl="6" w:tplc="5FA6DAFE" w:tentative="1">
      <w:start w:val="1"/>
      <w:numFmt w:val="bullet"/>
      <w:lvlText w:val="-"/>
      <w:lvlJc w:val="left"/>
      <w:pPr>
        <w:tabs>
          <w:tab w:val="num" w:pos="4964"/>
        </w:tabs>
        <w:ind w:left="4964" w:hanging="360"/>
      </w:pPr>
      <w:rPr>
        <w:rFonts w:ascii="Calibri" w:hAnsi="Calibri" w:hint="default"/>
      </w:rPr>
    </w:lvl>
    <w:lvl w:ilvl="7" w:tplc="F21E26AA" w:tentative="1">
      <w:start w:val="1"/>
      <w:numFmt w:val="bullet"/>
      <w:lvlText w:val="-"/>
      <w:lvlJc w:val="left"/>
      <w:pPr>
        <w:tabs>
          <w:tab w:val="num" w:pos="5684"/>
        </w:tabs>
        <w:ind w:left="5684" w:hanging="360"/>
      </w:pPr>
      <w:rPr>
        <w:rFonts w:ascii="Calibri" w:hAnsi="Calibri" w:hint="default"/>
      </w:rPr>
    </w:lvl>
    <w:lvl w:ilvl="8" w:tplc="D4426BA0" w:tentative="1">
      <w:start w:val="1"/>
      <w:numFmt w:val="bullet"/>
      <w:lvlText w:val="-"/>
      <w:lvlJc w:val="left"/>
      <w:pPr>
        <w:tabs>
          <w:tab w:val="num" w:pos="6404"/>
        </w:tabs>
        <w:ind w:left="6404" w:hanging="360"/>
      </w:pPr>
      <w:rPr>
        <w:rFonts w:ascii="Calibri" w:hAnsi="Calibri"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8"/>
  </w:num>
  <w:num w:numId="5">
    <w:abstractNumId w:val="7"/>
  </w:num>
  <w:num w:numId="6">
    <w:abstractNumId w:val="3"/>
  </w:num>
  <w:num w:numId="7">
    <w:abstractNumId w:val="6"/>
  </w:num>
  <w:num w:numId="8">
    <w:abstractNumId w:val="10"/>
  </w:num>
  <w:num w:numId="9">
    <w:abstractNumId w:val="2"/>
  </w:num>
  <w:num w:numId="10">
    <w:abstractNumId w:val="9"/>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5F9"/>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E67"/>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2AF3"/>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01"/>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5E1"/>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DF6"/>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0C7"/>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502"/>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454"/>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3D6D"/>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621"/>
    <w:rsid w:val="00E92A69"/>
    <w:rsid w:val="00E9301B"/>
    <w:rsid w:val="00E93C0C"/>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4DA8"/>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7E8"/>
    <w:rsid w:val="00EE716D"/>
    <w:rsid w:val="00EE7666"/>
    <w:rsid w:val="00EE7949"/>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74"/>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5B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60845">
      <w:bodyDiv w:val="1"/>
      <w:marLeft w:val="0"/>
      <w:marRight w:val="0"/>
      <w:marTop w:val="0"/>
      <w:marBottom w:val="0"/>
      <w:divBdr>
        <w:top w:val="none" w:sz="0" w:space="0" w:color="auto"/>
        <w:left w:val="none" w:sz="0" w:space="0" w:color="auto"/>
        <w:bottom w:val="none" w:sz="0" w:space="0" w:color="auto"/>
        <w:right w:val="none" w:sz="0" w:space="0" w:color="auto"/>
      </w:divBdr>
      <w:divsChild>
        <w:div w:id="440957403">
          <w:marLeft w:val="1080"/>
          <w:marRight w:val="0"/>
          <w:marTop w:val="100"/>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19661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089152">
      <w:bodyDiv w:val="1"/>
      <w:marLeft w:val="0"/>
      <w:marRight w:val="0"/>
      <w:marTop w:val="0"/>
      <w:marBottom w:val="0"/>
      <w:divBdr>
        <w:top w:val="none" w:sz="0" w:space="0" w:color="auto"/>
        <w:left w:val="none" w:sz="0" w:space="0" w:color="auto"/>
        <w:bottom w:val="none" w:sz="0" w:space="0" w:color="auto"/>
        <w:right w:val="none" w:sz="0" w:space="0" w:color="auto"/>
      </w:divBdr>
      <w:divsChild>
        <w:div w:id="1369909771">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101169">
      <w:bodyDiv w:val="1"/>
      <w:marLeft w:val="0"/>
      <w:marRight w:val="0"/>
      <w:marTop w:val="0"/>
      <w:marBottom w:val="0"/>
      <w:divBdr>
        <w:top w:val="none" w:sz="0" w:space="0" w:color="auto"/>
        <w:left w:val="none" w:sz="0" w:space="0" w:color="auto"/>
        <w:bottom w:val="none" w:sz="0" w:space="0" w:color="auto"/>
        <w:right w:val="none" w:sz="0" w:space="0" w:color="auto"/>
      </w:divBdr>
      <w:divsChild>
        <w:div w:id="529952449">
          <w:marLeft w:val="1080"/>
          <w:marRight w:val="0"/>
          <w:marTop w:val="100"/>
          <w:marBottom w:val="0"/>
          <w:divBdr>
            <w:top w:val="none" w:sz="0" w:space="0" w:color="auto"/>
            <w:left w:val="none" w:sz="0" w:space="0" w:color="auto"/>
            <w:bottom w:val="none" w:sz="0" w:space="0" w:color="auto"/>
            <w:right w:val="none" w:sz="0" w:space="0" w:color="auto"/>
          </w:divBdr>
        </w:div>
        <w:div w:id="868183725">
          <w:marLeft w:val="1080"/>
          <w:marRight w:val="0"/>
          <w:marTop w:val="100"/>
          <w:marBottom w:val="0"/>
          <w:divBdr>
            <w:top w:val="none" w:sz="0" w:space="0" w:color="auto"/>
            <w:left w:val="none" w:sz="0" w:space="0" w:color="auto"/>
            <w:bottom w:val="none" w:sz="0" w:space="0" w:color="auto"/>
            <w:right w:val="none" w:sz="0" w:space="0" w:color="auto"/>
          </w:divBdr>
        </w:div>
        <w:div w:id="692339844">
          <w:marLeft w:val="360"/>
          <w:marRight w:val="0"/>
          <w:marTop w:val="200"/>
          <w:marBottom w:val="0"/>
          <w:divBdr>
            <w:top w:val="none" w:sz="0" w:space="0" w:color="auto"/>
            <w:left w:val="none" w:sz="0" w:space="0" w:color="auto"/>
            <w:bottom w:val="none" w:sz="0" w:space="0" w:color="auto"/>
            <w:right w:val="none" w:sz="0" w:space="0" w:color="auto"/>
          </w:divBdr>
        </w:div>
        <w:div w:id="995382809">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0449542">
      <w:bodyDiv w:val="1"/>
      <w:marLeft w:val="0"/>
      <w:marRight w:val="0"/>
      <w:marTop w:val="0"/>
      <w:marBottom w:val="0"/>
      <w:divBdr>
        <w:top w:val="none" w:sz="0" w:space="0" w:color="auto"/>
        <w:left w:val="none" w:sz="0" w:space="0" w:color="auto"/>
        <w:bottom w:val="none" w:sz="0" w:space="0" w:color="auto"/>
        <w:right w:val="none" w:sz="0" w:space="0" w:color="auto"/>
      </w:divBdr>
      <w:divsChild>
        <w:div w:id="1064178389">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0920426">
      <w:bodyDiv w:val="1"/>
      <w:marLeft w:val="0"/>
      <w:marRight w:val="0"/>
      <w:marTop w:val="0"/>
      <w:marBottom w:val="0"/>
      <w:divBdr>
        <w:top w:val="none" w:sz="0" w:space="0" w:color="auto"/>
        <w:left w:val="none" w:sz="0" w:space="0" w:color="auto"/>
        <w:bottom w:val="none" w:sz="0" w:space="0" w:color="auto"/>
        <w:right w:val="none" w:sz="0" w:space="0" w:color="auto"/>
      </w:divBdr>
      <w:divsChild>
        <w:div w:id="890186712">
          <w:marLeft w:val="360"/>
          <w:marRight w:val="0"/>
          <w:marTop w:val="200"/>
          <w:marBottom w:val="0"/>
          <w:divBdr>
            <w:top w:val="none" w:sz="0" w:space="0" w:color="auto"/>
            <w:left w:val="none" w:sz="0" w:space="0" w:color="auto"/>
            <w:bottom w:val="none" w:sz="0" w:space="0" w:color="auto"/>
            <w:right w:val="none" w:sz="0" w:space="0" w:color="auto"/>
          </w:divBdr>
        </w:div>
      </w:divsChild>
    </w:div>
    <w:div w:id="64011268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9443238">
      <w:bodyDiv w:val="1"/>
      <w:marLeft w:val="0"/>
      <w:marRight w:val="0"/>
      <w:marTop w:val="0"/>
      <w:marBottom w:val="0"/>
      <w:divBdr>
        <w:top w:val="none" w:sz="0" w:space="0" w:color="auto"/>
        <w:left w:val="none" w:sz="0" w:space="0" w:color="auto"/>
        <w:bottom w:val="none" w:sz="0" w:space="0" w:color="auto"/>
        <w:right w:val="none" w:sz="0" w:space="0" w:color="auto"/>
      </w:divBdr>
    </w:div>
    <w:div w:id="876088537">
      <w:bodyDiv w:val="1"/>
      <w:marLeft w:val="0"/>
      <w:marRight w:val="0"/>
      <w:marTop w:val="0"/>
      <w:marBottom w:val="0"/>
      <w:divBdr>
        <w:top w:val="none" w:sz="0" w:space="0" w:color="auto"/>
        <w:left w:val="none" w:sz="0" w:space="0" w:color="auto"/>
        <w:bottom w:val="none" w:sz="0" w:space="0" w:color="auto"/>
        <w:right w:val="none" w:sz="0" w:space="0" w:color="auto"/>
      </w:divBdr>
      <w:divsChild>
        <w:div w:id="191769644">
          <w:marLeft w:val="1080"/>
          <w:marRight w:val="0"/>
          <w:marTop w:val="100"/>
          <w:marBottom w:val="0"/>
          <w:divBdr>
            <w:top w:val="none" w:sz="0" w:space="0" w:color="auto"/>
            <w:left w:val="none" w:sz="0" w:space="0" w:color="auto"/>
            <w:bottom w:val="none" w:sz="0" w:space="0" w:color="auto"/>
            <w:right w:val="none" w:sz="0" w:space="0" w:color="auto"/>
          </w:divBdr>
        </w:div>
        <w:div w:id="2095394547">
          <w:marLeft w:val="1080"/>
          <w:marRight w:val="0"/>
          <w:marTop w:val="100"/>
          <w:marBottom w:val="0"/>
          <w:divBdr>
            <w:top w:val="none" w:sz="0" w:space="0" w:color="auto"/>
            <w:left w:val="none" w:sz="0" w:space="0" w:color="auto"/>
            <w:bottom w:val="none" w:sz="0" w:space="0" w:color="auto"/>
            <w:right w:val="none" w:sz="0" w:space="0" w:color="auto"/>
          </w:divBdr>
        </w:div>
        <w:div w:id="391542124">
          <w:marLeft w:val="1080"/>
          <w:marRight w:val="0"/>
          <w:marTop w:val="100"/>
          <w:marBottom w:val="0"/>
          <w:divBdr>
            <w:top w:val="none" w:sz="0" w:space="0" w:color="auto"/>
            <w:left w:val="none" w:sz="0" w:space="0" w:color="auto"/>
            <w:bottom w:val="none" w:sz="0" w:space="0" w:color="auto"/>
            <w:right w:val="none" w:sz="0" w:space="0" w:color="auto"/>
          </w:divBdr>
        </w:div>
        <w:div w:id="538856291">
          <w:marLeft w:val="1080"/>
          <w:marRight w:val="0"/>
          <w:marTop w:val="10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47209250">
      <w:bodyDiv w:val="1"/>
      <w:marLeft w:val="0"/>
      <w:marRight w:val="0"/>
      <w:marTop w:val="0"/>
      <w:marBottom w:val="0"/>
      <w:divBdr>
        <w:top w:val="none" w:sz="0" w:space="0" w:color="auto"/>
        <w:left w:val="none" w:sz="0" w:space="0" w:color="auto"/>
        <w:bottom w:val="none" w:sz="0" w:space="0" w:color="auto"/>
        <w:right w:val="none" w:sz="0" w:space="0" w:color="auto"/>
      </w:divBdr>
      <w:divsChild>
        <w:div w:id="2057701970">
          <w:marLeft w:val="360"/>
          <w:marRight w:val="0"/>
          <w:marTop w:val="200"/>
          <w:marBottom w:val="0"/>
          <w:divBdr>
            <w:top w:val="none" w:sz="0" w:space="0" w:color="auto"/>
            <w:left w:val="none" w:sz="0" w:space="0" w:color="auto"/>
            <w:bottom w:val="none" w:sz="0" w:space="0" w:color="auto"/>
            <w:right w:val="none" w:sz="0" w:space="0" w:color="auto"/>
          </w:divBdr>
        </w:div>
        <w:div w:id="1223175580">
          <w:marLeft w:val="360"/>
          <w:marRight w:val="0"/>
          <w:marTop w:val="200"/>
          <w:marBottom w:val="0"/>
          <w:divBdr>
            <w:top w:val="none" w:sz="0" w:space="0" w:color="auto"/>
            <w:left w:val="none" w:sz="0" w:space="0" w:color="auto"/>
            <w:bottom w:val="none" w:sz="0" w:space="0" w:color="auto"/>
            <w:right w:val="none" w:sz="0" w:space="0" w:color="auto"/>
          </w:divBdr>
        </w:div>
      </w:divsChild>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9006452">
      <w:bodyDiv w:val="1"/>
      <w:marLeft w:val="0"/>
      <w:marRight w:val="0"/>
      <w:marTop w:val="0"/>
      <w:marBottom w:val="0"/>
      <w:divBdr>
        <w:top w:val="none" w:sz="0" w:space="0" w:color="auto"/>
        <w:left w:val="none" w:sz="0" w:space="0" w:color="auto"/>
        <w:bottom w:val="none" w:sz="0" w:space="0" w:color="auto"/>
        <w:right w:val="none" w:sz="0" w:space="0" w:color="auto"/>
      </w:divBdr>
      <w:divsChild>
        <w:div w:id="1167478544">
          <w:marLeft w:val="1080"/>
          <w:marRight w:val="0"/>
          <w:marTop w:val="100"/>
          <w:marBottom w:val="0"/>
          <w:divBdr>
            <w:top w:val="none" w:sz="0" w:space="0" w:color="auto"/>
            <w:left w:val="none" w:sz="0" w:space="0" w:color="auto"/>
            <w:bottom w:val="none" w:sz="0" w:space="0" w:color="auto"/>
            <w:right w:val="none" w:sz="0" w:space="0" w:color="auto"/>
          </w:divBdr>
        </w:div>
        <w:div w:id="185022927">
          <w:marLeft w:val="1080"/>
          <w:marRight w:val="0"/>
          <w:marTop w:val="100"/>
          <w:marBottom w:val="0"/>
          <w:divBdr>
            <w:top w:val="none" w:sz="0" w:space="0" w:color="auto"/>
            <w:left w:val="none" w:sz="0" w:space="0" w:color="auto"/>
            <w:bottom w:val="none" w:sz="0" w:space="0" w:color="auto"/>
            <w:right w:val="none" w:sz="0" w:space="0" w:color="auto"/>
          </w:divBdr>
        </w:div>
      </w:divsChild>
    </w:div>
    <w:div w:id="1555651916">
      <w:bodyDiv w:val="1"/>
      <w:marLeft w:val="0"/>
      <w:marRight w:val="0"/>
      <w:marTop w:val="0"/>
      <w:marBottom w:val="0"/>
      <w:divBdr>
        <w:top w:val="none" w:sz="0" w:space="0" w:color="auto"/>
        <w:left w:val="none" w:sz="0" w:space="0" w:color="auto"/>
        <w:bottom w:val="none" w:sz="0" w:space="0" w:color="auto"/>
        <w:right w:val="none" w:sz="0" w:space="0" w:color="auto"/>
      </w:divBdr>
      <w:divsChild>
        <w:div w:id="54281863">
          <w:marLeft w:val="1080"/>
          <w:marRight w:val="0"/>
          <w:marTop w:val="100"/>
          <w:marBottom w:val="0"/>
          <w:divBdr>
            <w:top w:val="none" w:sz="0" w:space="0" w:color="auto"/>
            <w:left w:val="none" w:sz="0" w:space="0" w:color="auto"/>
            <w:bottom w:val="none" w:sz="0" w:space="0" w:color="auto"/>
            <w:right w:val="none" w:sz="0" w:space="0" w:color="auto"/>
          </w:divBdr>
        </w:div>
        <w:div w:id="1713579648">
          <w:marLeft w:val="1080"/>
          <w:marRight w:val="0"/>
          <w:marTop w:val="100"/>
          <w:marBottom w:val="0"/>
          <w:divBdr>
            <w:top w:val="none" w:sz="0" w:space="0" w:color="auto"/>
            <w:left w:val="none" w:sz="0" w:space="0" w:color="auto"/>
            <w:bottom w:val="none" w:sz="0" w:space="0" w:color="auto"/>
            <w:right w:val="none" w:sz="0" w:space="0" w:color="auto"/>
          </w:divBdr>
        </w:div>
        <w:div w:id="1083379523">
          <w:marLeft w:val="360"/>
          <w:marRight w:val="0"/>
          <w:marTop w:val="200"/>
          <w:marBottom w:val="0"/>
          <w:divBdr>
            <w:top w:val="none" w:sz="0" w:space="0" w:color="auto"/>
            <w:left w:val="none" w:sz="0" w:space="0" w:color="auto"/>
            <w:bottom w:val="none" w:sz="0" w:space="0" w:color="auto"/>
            <w:right w:val="none" w:sz="0" w:space="0" w:color="auto"/>
          </w:divBdr>
        </w:div>
        <w:div w:id="1473670371">
          <w:marLeft w:val="1080"/>
          <w:marRight w:val="0"/>
          <w:marTop w:val="1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9207243">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3257568">
      <w:bodyDiv w:val="1"/>
      <w:marLeft w:val="0"/>
      <w:marRight w:val="0"/>
      <w:marTop w:val="0"/>
      <w:marBottom w:val="0"/>
      <w:divBdr>
        <w:top w:val="none" w:sz="0" w:space="0" w:color="auto"/>
        <w:left w:val="none" w:sz="0" w:space="0" w:color="auto"/>
        <w:bottom w:val="none" w:sz="0" w:space="0" w:color="auto"/>
        <w:right w:val="none" w:sz="0" w:space="0" w:color="auto"/>
      </w:divBdr>
      <w:divsChild>
        <w:div w:id="683436749">
          <w:marLeft w:val="1080"/>
          <w:marRight w:val="0"/>
          <w:marTop w:val="100"/>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45D93-330E-4040-BF01-16DC7E892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81</TotalTime>
  <Pages>3</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2021-08-06T13:18:00Z</dcterms:created>
  <dcterms:modified xsi:type="dcterms:W3CDTF">2021-08-06T19:20:00Z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(3)vH2GK0q41FiHm3EFC0k2hWxY+/p6MZGa3P2zpvHAOzU5Du8cHfIOmD7Sc4ng/REL7ETwuu/5
isU56GJcHDJU5gw/86rUmL27Hn8FfrFqnoiTe3Vp83JUMSRx6UxJYAqOqwppuBN5ZWCJ/sp7
pIhuv4LZ0lpL5a2eCNSj4vzf1IaaDOzicj8X3UbFY7DiJwoQbkW/z974W7/9fGhFDy4+dB5J
tC5m6zOYjrAznk6gjB</vt:lpwstr>
  </property>
  <property fmtid="{D5CDD505-2E9C-101B-9397-08002B2CF9AE}" pid="15" name="_2015_ms_pID_725343_00">
    <vt:lpwstr>_2015_ms_pID_725343</vt:lpwstr>
  </property>
  <property fmtid="{D5CDD505-2E9C-101B-9397-08002B2CF9AE}" pid="16" name="_2015_ms_pID_7253431">
    <vt:lpwstr>ZpQYUF0EUQ2M0cFc+rEw+DXME8QetOuteAV2I7UEa2Ef18V803giS5
eKWe8umb1p8axeCTzclqtfWKwRLHOzem0kWWBUsY2C9Cu+Sfpzn1Z0X8/mOIO1h5t9yv7g7U
tGRvSJ+zZmpAWYBSBYsJE4bx3WP32wGbosTyqqXPJv3sndtBDmMrlbFVrp5hRjeQIea3KSXl
0c05HN8KrBTplG8QevqdEhGgXtSGnObZsB1m</vt:lpwstr>
  </property>
  <property fmtid="{D5CDD505-2E9C-101B-9397-08002B2CF9AE}" pid="17" name="_2015_ms_pID_7253431_00">
    <vt:lpwstr>_2015_ms_pID_7253431</vt:lpwstr>
  </property>
  <property fmtid="{D5CDD505-2E9C-101B-9397-08002B2CF9AE}" pid="18" name="_2015_ms_pID_7253432">
    <vt:lpwstr>Wg1T0dIk6B3q+jkkXnO0i08=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